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83" w:rsidRDefault="00A246B7" w:rsidP="00DC2BA2">
      <w:pPr>
        <w:spacing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Информация </w:t>
      </w:r>
      <w:r w:rsidR="009430D4">
        <w:rPr>
          <w:rFonts w:ascii="Times New Roman" w:hAnsi="Times New Roman" w:cs="Times New Roman"/>
          <w:b/>
          <w:sz w:val="26"/>
          <w:szCs w:val="26"/>
        </w:rPr>
        <w:t xml:space="preserve">об учетной политике </w:t>
      </w:r>
      <w:r w:rsidR="009430D4" w:rsidRPr="009430D4">
        <w:rPr>
          <w:rFonts w:ascii="Times New Roman" w:hAnsi="Times New Roman" w:cs="Times New Roman"/>
          <w:b/>
          <w:sz w:val="26"/>
          <w:szCs w:val="26"/>
        </w:rPr>
        <w:t>Межрайонн</w:t>
      </w:r>
      <w:r w:rsidR="009430D4">
        <w:rPr>
          <w:rFonts w:ascii="Times New Roman" w:hAnsi="Times New Roman" w:cs="Times New Roman"/>
          <w:b/>
          <w:sz w:val="26"/>
          <w:szCs w:val="26"/>
        </w:rPr>
        <w:t>ой</w:t>
      </w:r>
      <w:r w:rsidR="009430D4" w:rsidRPr="009430D4">
        <w:rPr>
          <w:rFonts w:ascii="Times New Roman" w:hAnsi="Times New Roman" w:cs="Times New Roman"/>
          <w:b/>
          <w:sz w:val="26"/>
          <w:szCs w:val="26"/>
        </w:rPr>
        <w:t xml:space="preserve"> ИФНС России № </w:t>
      </w:r>
      <w:r w:rsidR="00E56E84">
        <w:rPr>
          <w:rFonts w:ascii="Times New Roman" w:hAnsi="Times New Roman" w:cs="Times New Roman"/>
          <w:b/>
          <w:sz w:val="26"/>
          <w:szCs w:val="26"/>
        </w:rPr>
        <w:t>7</w:t>
      </w:r>
      <w:bookmarkStart w:id="0" w:name="_GoBack"/>
      <w:bookmarkEnd w:id="0"/>
      <w:r w:rsidR="009430D4" w:rsidRPr="009430D4">
        <w:rPr>
          <w:rFonts w:ascii="Times New Roman" w:hAnsi="Times New Roman" w:cs="Times New Roman"/>
          <w:b/>
          <w:sz w:val="26"/>
          <w:szCs w:val="26"/>
        </w:rPr>
        <w:t xml:space="preserve"> по Саратовской области</w:t>
      </w:r>
      <w:r>
        <w:rPr>
          <w:rFonts w:ascii="Times New Roman" w:hAnsi="Times New Roman" w:cs="Times New Roman"/>
          <w:b/>
          <w:sz w:val="26"/>
          <w:szCs w:val="26"/>
        </w:rPr>
        <w:t xml:space="preserve"> </w:t>
      </w:r>
      <w:r w:rsidR="00854CF7">
        <w:rPr>
          <w:rFonts w:ascii="Times New Roman" w:hAnsi="Times New Roman" w:cs="Times New Roman"/>
          <w:b/>
          <w:sz w:val="26"/>
          <w:szCs w:val="26"/>
        </w:rPr>
        <w:t>на 2020 год</w:t>
      </w:r>
    </w:p>
    <w:p w:rsidR="00E56E84" w:rsidRPr="00E56E84" w:rsidRDefault="00E56E84" w:rsidP="00E56E84">
      <w:pPr>
        <w:spacing w:after="0" w:line="240" w:lineRule="auto"/>
        <w:ind w:firstLine="567"/>
        <w:jc w:val="both"/>
        <w:rPr>
          <w:rFonts w:ascii="Times New Roman" w:hAnsi="Times New Roman" w:cs="Times New Roman"/>
          <w:sz w:val="26"/>
          <w:szCs w:val="26"/>
        </w:rPr>
      </w:pPr>
      <w:proofErr w:type="gramStart"/>
      <w:r w:rsidRPr="00E56E84">
        <w:rPr>
          <w:rFonts w:ascii="Times New Roman" w:hAnsi="Times New Roman" w:cs="Times New Roman"/>
          <w:sz w:val="26"/>
          <w:szCs w:val="26"/>
        </w:rPr>
        <w:t>В соответствии с федеральным стандартом бухгалтерского учета для организаций государственного сектора «Об утверждении федерального стандарта бухгалтерского учета для организаций государственного сектора «Учетная политика, оценочные значения и ошибки», утвержденным приказом Минфина России от 30.12.2017 № 274н в целях организации и ведения бухгалтерского учета приказом Межрайонной ИФНС России № 7 по Саратовской области от 31.12.2019 № 01-02/139 «Об учетной политике» утверждены:</w:t>
      </w:r>
      <w:proofErr w:type="gramEnd"/>
    </w:p>
    <w:p w:rsidR="00E56E84" w:rsidRPr="00E56E84" w:rsidRDefault="00E56E84" w:rsidP="00E56E84">
      <w:pPr>
        <w:spacing w:after="0" w:line="240" w:lineRule="auto"/>
        <w:ind w:firstLine="567"/>
        <w:jc w:val="both"/>
        <w:rPr>
          <w:rFonts w:ascii="Times New Roman" w:hAnsi="Times New Roman" w:cs="Times New Roman"/>
          <w:sz w:val="26"/>
          <w:szCs w:val="26"/>
        </w:rPr>
      </w:pPr>
      <w:r w:rsidRPr="00E56E84">
        <w:rPr>
          <w:rFonts w:ascii="Times New Roman" w:hAnsi="Times New Roman" w:cs="Times New Roman"/>
          <w:sz w:val="26"/>
          <w:szCs w:val="26"/>
        </w:rPr>
        <w:t>методы оценки объектов бухгалтерского учета, порядок признания (постановки на учет) и прекращения признания (выбытия из учета) объектов бухгалтерского учета, и (или) раскрытия информации о них в бухгалтерской (финансовой) отчетности в соответствии с нормативными правовыми актами, регулирующими ведение бухгалтерского учета и составление бухгалтерской (финансовой) отчетности;</w:t>
      </w:r>
    </w:p>
    <w:p w:rsidR="00E56E84" w:rsidRPr="00E56E84" w:rsidRDefault="00E56E84" w:rsidP="00E56E8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w:t>
      </w:r>
      <w:r w:rsidRPr="00E56E84">
        <w:rPr>
          <w:rFonts w:ascii="Times New Roman" w:hAnsi="Times New Roman" w:cs="Times New Roman"/>
          <w:sz w:val="26"/>
          <w:szCs w:val="26"/>
        </w:rPr>
        <w:t>абочий план счетов бухгалтерского учета, содержащий применяемые счета бухгалтерского учета для ведения синтетического и аналитического учета (номера счетов бухгалтерского учета) либо коды счетов бухгалтерского учета и правила формирования номера счета бухгалтерского учета;</w:t>
      </w:r>
    </w:p>
    <w:p w:rsidR="00E56E84" w:rsidRPr="00E56E84" w:rsidRDefault="00E56E84" w:rsidP="00E56E84">
      <w:pPr>
        <w:spacing w:after="0" w:line="240" w:lineRule="auto"/>
        <w:ind w:firstLine="567"/>
        <w:jc w:val="both"/>
        <w:rPr>
          <w:rFonts w:ascii="Times New Roman" w:hAnsi="Times New Roman" w:cs="Times New Roman"/>
          <w:sz w:val="26"/>
          <w:szCs w:val="26"/>
        </w:rPr>
      </w:pPr>
      <w:r w:rsidRPr="00E56E84">
        <w:rPr>
          <w:rFonts w:ascii="Times New Roman" w:hAnsi="Times New Roman" w:cs="Times New Roman"/>
          <w:sz w:val="26"/>
          <w:szCs w:val="26"/>
        </w:rPr>
        <w:t xml:space="preserve">порядок проведения инвентаризации активов, имущества, учитываемого на </w:t>
      </w:r>
      <w:proofErr w:type="spellStart"/>
      <w:r w:rsidRPr="00E56E84">
        <w:rPr>
          <w:rFonts w:ascii="Times New Roman" w:hAnsi="Times New Roman" w:cs="Times New Roman"/>
          <w:sz w:val="26"/>
          <w:szCs w:val="26"/>
        </w:rPr>
        <w:t>забалансовых</w:t>
      </w:r>
      <w:proofErr w:type="spellEnd"/>
      <w:r w:rsidRPr="00E56E84">
        <w:rPr>
          <w:rFonts w:ascii="Times New Roman" w:hAnsi="Times New Roman" w:cs="Times New Roman"/>
          <w:sz w:val="26"/>
          <w:szCs w:val="26"/>
        </w:rPr>
        <w:t xml:space="preserve"> счетах, обязательств, иных объектов бухгалтерского учета;</w:t>
      </w:r>
    </w:p>
    <w:p w:rsidR="00E56E84" w:rsidRPr="00E56E84" w:rsidRDefault="00E56E84" w:rsidP="00E56E84">
      <w:pPr>
        <w:spacing w:after="0" w:line="240" w:lineRule="auto"/>
        <w:ind w:firstLine="567"/>
        <w:jc w:val="both"/>
        <w:rPr>
          <w:rFonts w:ascii="Times New Roman" w:hAnsi="Times New Roman" w:cs="Times New Roman"/>
          <w:sz w:val="26"/>
          <w:szCs w:val="26"/>
        </w:rPr>
      </w:pPr>
      <w:r w:rsidRPr="00E56E84">
        <w:rPr>
          <w:rFonts w:ascii="Times New Roman" w:hAnsi="Times New Roman" w:cs="Times New Roman"/>
          <w:sz w:val="26"/>
          <w:szCs w:val="26"/>
        </w:rPr>
        <w:t>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 их оформления формы документов. Утвержденные субъектом учета формы документов бухгалтерского учета должны содержать обязательные реквизиты и соответствовать требованиям, предусмотренным Стандартом Концептуальные основы;</w:t>
      </w:r>
    </w:p>
    <w:p w:rsidR="00E56E84" w:rsidRPr="00E56E84" w:rsidRDefault="00E56E84" w:rsidP="00E56E84">
      <w:pPr>
        <w:spacing w:after="0" w:line="240" w:lineRule="auto"/>
        <w:ind w:firstLine="567"/>
        <w:jc w:val="both"/>
        <w:rPr>
          <w:rFonts w:ascii="Times New Roman" w:hAnsi="Times New Roman" w:cs="Times New Roman"/>
          <w:sz w:val="26"/>
          <w:szCs w:val="26"/>
        </w:rPr>
      </w:pPr>
      <w:proofErr w:type="gramStart"/>
      <w:r w:rsidRPr="00E56E84">
        <w:rPr>
          <w:rFonts w:ascii="Times New Roman" w:hAnsi="Times New Roman" w:cs="Times New Roman"/>
          <w:sz w:val="26"/>
          <w:szCs w:val="26"/>
        </w:rPr>
        <w:t>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бухгалтерском учете в соответствии с утвержденным графиком документооборота и (или) порядком взаимодействия структурных подразделений и (или) лиц, ответственных за оформление фактов хозяйственной жизни, по предоставлению первичных учетных документов для ведения бухгалтерского учета;</w:t>
      </w:r>
      <w:proofErr w:type="gramEnd"/>
    </w:p>
    <w:p w:rsidR="00E56E84" w:rsidRPr="00E56E84" w:rsidRDefault="00E56E84" w:rsidP="00E56E84">
      <w:pPr>
        <w:spacing w:after="0" w:line="240" w:lineRule="auto"/>
        <w:ind w:firstLine="567"/>
        <w:jc w:val="both"/>
        <w:rPr>
          <w:rFonts w:ascii="Times New Roman" w:hAnsi="Times New Roman" w:cs="Times New Roman"/>
          <w:sz w:val="26"/>
          <w:szCs w:val="26"/>
        </w:rPr>
      </w:pPr>
      <w:r w:rsidRPr="00E56E84">
        <w:rPr>
          <w:rFonts w:ascii="Times New Roman" w:hAnsi="Times New Roman" w:cs="Times New Roman"/>
          <w:sz w:val="26"/>
          <w:szCs w:val="26"/>
        </w:rPr>
        <w:t>порядок организации и обеспечения (осуществления) внутреннего контроля;</w:t>
      </w:r>
    </w:p>
    <w:p w:rsidR="00E56E84" w:rsidRPr="00E56E84" w:rsidRDefault="00E56E84" w:rsidP="00E56E84">
      <w:pPr>
        <w:spacing w:after="0" w:line="240" w:lineRule="auto"/>
        <w:ind w:firstLine="567"/>
        <w:jc w:val="both"/>
        <w:rPr>
          <w:rFonts w:ascii="Times New Roman" w:hAnsi="Times New Roman" w:cs="Times New Roman"/>
          <w:sz w:val="26"/>
          <w:szCs w:val="26"/>
        </w:rPr>
      </w:pPr>
      <w:r w:rsidRPr="00E56E84">
        <w:rPr>
          <w:rFonts w:ascii="Times New Roman" w:hAnsi="Times New Roman" w:cs="Times New Roman"/>
          <w:sz w:val="26"/>
          <w:szCs w:val="26"/>
        </w:rPr>
        <w:t>порядок признания в бухгалтерском учете и раскрытия в бухгалтерской (финансовой) отчетности событий после отчетной даты;</w:t>
      </w:r>
    </w:p>
    <w:p w:rsidR="000F3458" w:rsidRPr="007E4E6C" w:rsidRDefault="00E56E84" w:rsidP="00E56E84">
      <w:pPr>
        <w:spacing w:after="0" w:line="240" w:lineRule="auto"/>
        <w:ind w:firstLine="567"/>
        <w:jc w:val="both"/>
        <w:rPr>
          <w:rFonts w:ascii="Times New Roman" w:hAnsi="Times New Roman" w:cs="Times New Roman"/>
          <w:sz w:val="26"/>
          <w:szCs w:val="26"/>
        </w:rPr>
      </w:pPr>
      <w:r w:rsidRPr="00E56E84">
        <w:rPr>
          <w:rFonts w:ascii="Times New Roman" w:hAnsi="Times New Roman" w:cs="Times New Roman"/>
          <w:sz w:val="26"/>
          <w:szCs w:val="26"/>
        </w:rPr>
        <w:t>иные способы ведения бухгалтерского учета, необходимые для организации ведения бухгалтерского учета и формирования бухгалтерской (финансо</w:t>
      </w:r>
      <w:r>
        <w:rPr>
          <w:rFonts w:ascii="Times New Roman" w:hAnsi="Times New Roman" w:cs="Times New Roman"/>
          <w:sz w:val="26"/>
          <w:szCs w:val="26"/>
        </w:rPr>
        <w:t>вой) отчетности субъектом учета</w:t>
      </w:r>
      <w:r w:rsidR="00873037" w:rsidRPr="00873037">
        <w:rPr>
          <w:rFonts w:ascii="Times New Roman" w:hAnsi="Times New Roman" w:cs="Times New Roman"/>
          <w:sz w:val="26"/>
          <w:szCs w:val="26"/>
        </w:rPr>
        <w:t>.</w:t>
      </w:r>
    </w:p>
    <w:sectPr w:rsidR="000F3458" w:rsidRPr="007E4E6C" w:rsidSect="009430D4">
      <w:pgSz w:w="11906" w:h="16838"/>
      <w:pgMar w:top="567"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C91"/>
    <w:multiLevelType w:val="hybridMultilevel"/>
    <w:tmpl w:val="9CB69B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C50C5A"/>
    <w:multiLevelType w:val="hybridMultilevel"/>
    <w:tmpl w:val="14709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BC674F"/>
    <w:multiLevelType w:val="hybridMultilevel"/>
    <w:tmpl w:val="39D053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B5E2D30"/>
    <w:multiLevelType w:val="hybridMultilevel"/>
    <w:tmpl w:val="822E94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9463B4"/>
    <w:multiLevelType w:val="hybridMultilevel"/>
    <w:tmpl w:val="8AC04A4E"/>
    <w:lvl w:ilvl="0" w:tplc="85302BCC">
      <w:start w:val="2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82E3D83"/>
    <w:multiLevelType w:val="hybridMultilevel"/>
    <w:tmpl w:val="1158A2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EC6669"/>
    <w:multiLevelType w:val="hybridMultilevel"/>
    <w:tmpl w:val="0BAC39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9C60EC2"/>
    <w:multiLevelType w:val="hybridMultilevel"/>
    <w:tmpl w:val="DC786320"/>
    <w:lvl w:ilvl="0" w:tplc="F03011BC">
      <w:numFmt w:val="bullet"/>
      <w:lvlText w:val="•"/>
      <w:lvlJc w:val="left"/>
      <w:pPr>
        <w:ind w:left="1839" w:hanging="705"/>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C9E4657"/>
    <w:multiLevelType w:val="hybridMultilevel"/>
    <w:tmpl w:val="5F2ECB9C"/>
    <w:lvl w:ilvl="0" w:tplc="F03011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91413A"/>
    <w:multiLevelType w:val="hybridMultilevel"/>
    <w:tmpl w:val="FABA44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32E0BF2"/>
    <w:multiLevelType w:val="hybridMultilevel"/>
    <w:tmpl w:val="8DD8FC2C"/>
    <w:lvl w:ilvl="0" w:tplc="CD8ACCBE">
      <w:start w:val="2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D90DD6"/>
    <w:multiLevelType w:val="hybridMultilevel"/>
    <w:tmpl w:val="D60C4730"/>
    <w:lvl w:ilvl="0" w:tplc="F03011BC">
      <w:numFmt w:val="bullet"/>
      <w:lvlText w:val="•"/>
      <w:lvlJc w:val="left"/>
      <w:pPr>
        <w:ind w:left="1272" w:hanging="705"/>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11"/>
  </w:num>
  <w:num w:numId="3">
    <w:abstractNumId w:val="7"/>
  </w:num>
  <w:num w:numId="4">
    <w:abstractNumId w:val="8"/>
  </w:num>
  <w:num w:numId="5">
    <w:abstractNumId w:val="6"/>
  </w:num>
  <w:num w:numId="6">
    <w:abstractNumId w:val="5"/>
  </w:num>
  <w:num w:numId="7">
    <w:abstractNumId w:val="9"/>
  </w:num>
  <w:num w:numId="8">
    <w:abstractNumId w:val="0"/>
  </w:num>
  <w:num w:numId="9">
    <w:abstractNumId w:val="4"/>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EC"/>
    <w:rsid w:val="00002EA7"/>
    <w:rsid w:val="00024183"/>
    <w:rsid w:val="00027143"/>
    <w:rsid w:val="000325BD"/>
    <w:rsid w:val="0003421A"/>
    <w:rsid w:val="00064109"/>
    <w:rsid w:val="000730DC"/>
    <w:rsid w:val="000B24B1"/>
    <w:rsid w:val="000B708B"/>
    <w:rsid w:val="000C3049"/>
    <w:rsid w:val="000D4CB9"/>
    <w:rsid w:val="000D7DCE"/>
    <w:rsid w:val="000F0CB9"/>
    <w:rsid w:val="000F3458"/>
    <w:rsid w:val="000F34D9"/>
    <w:rsid w:val="0011100D"/>
    <w:rsid w:val="00130BA7"/>
    <w:rsid w:val="001621AF"/>
    <w:rsid w:val="00193BED"/>
    <w:rsid w:val="001A733D"/>
    <w:rsid w:val="001C0A22"/>
    <w:rsid w:val="001C561E"/>
    <w:rsid w:val="001F503C"/>
    <w:rsid w:val="00210C07"/>
    <w:rsid w:val="00210E1E"/>
    <w:rsid w:val="00212AB0"/>
    <w:rsid w:val="00231495"/>
    <w:rsid w:val="002426C3"/>
    <w:rsid w:val="0024456D"/>
    <w:rsid w:val="00286F53"/>
    <w:rsid w:val="002918F7"/>
    <w:rsid w:val="002C2274"/>
    <w:rsid w:val="002F21CE"/>
    <w:rsid w:val="002F774D"/>
    <w:rsid w:val="003036FC"/>
    <w:rsid w:val="00317EC6"/>
    <w:rsid w:val="00320B7F"/>
    <w:rsid w:val="003404D7"/>
    <w:rsid w:val="00360F32"/>
    <w:rsid w:val="00371366"/>
    <w:rsid w:val="003772E3"/>
    <w:rsid w:val="003A146D"/>
    <w:rsid w:val="003A1CBB"/>
    <w:rsid w:val="003B775B"/>
    <w:rsid w:val="003C5857"/>
    <w:rsid w:val="003F6FF5"/>
    <w:rsid w:val="00465BB9"/>
    <w:rsid w:val="004877F9"/>
    <w:rsid w:val="004974A4"/>
    <w:rsid w:val="004A6FA1"/>
    <w:rsid w:val="004B1F3B"/>
    <w:rsid w:val="004B71F2"/>
    <w:rsid w:val="004C0831"/>
    <w:rsid w:val="004D568D"/>
    <w:rsid w:val="004E1215"/>
    <w:rsid w:val="004E6758"/>
    <w:rsid w:val="00505171"/>
    <w:rsid w:val="00515E4D"/>
    <w:rsid w:val="0053151A"/>
    <w:rsid w:val="005347A5"/>
    <w:rsid w:val="00537484"/>
    <w:rsid w:val="00544B04"/>
    <w:rsid w:val="00546A46"/>
    <w:rsid w:val="005645DC"/>
    <w:rsid w:val="00564BF6"/>
    <w:rsid w:val="00567168"/>
    <w:rsid w:val="005671DD"/>
    <w:rsid w:val="00575B2C"/>
    <w:rsid w:val="00596518"/>
    <w:rsid w:val="005A30A9"/>
    <w:rsid w:val="005C5536"/>
    <w:rsid w:val="005F0B44"/>
    <w:rsid w:val="00602BF2"/>
    <w:rsid w:val="00603106"/>
    <w:rsid w:val="00604F00"/>
    <w:rsid w:val="00606236"/>
    <w:rsid w:val="00624E79"/>
    <w:rsid w:val="00666FC6"/>
    <w:rsid w:val="00667568"/>
    <w:rsid w:val="00672F80"/>
    <w:rsid w:val="0069098E"/>
    <w:rsid w:val="0069391E"/>
    <w:rsid w:val="006D0CBF"/>
    <w:rsid w:val="006D4935"/>
    <w:rsid w:val="006E36E7"/>
    <w:rsid w:val="00701863"/>
    <w:rsid w:val="007433D7"/>
    <w:rsid w:val="00776D61"/>
    <w:rsid w:val="00783757"/>
    <w:rsid w:val="007918F9"/>
    <w:rsid w:val="007A02EF"/>
    <w:rsid w:val="007B6D37"/>
    <w:rsid w:val="007C1C16"/>
    <w:rsid w:val="007C4F5B"/>
    <w:rsid w:val="007D0C85"/>
    <w:rsid w:val="007E0BA5"/>
    <w:rsid w:val="007E4E6C"/>
    <w:rsid w:val="00810CDD"/>
    <w:rsid w:val="00837955"/>
    <w:rsid w:val="008466B8"/>
    <w:rsid w:val="00854CF7"/>
    <w:rsid w:val="00864DA9"/>
    <w:rsid w:val="00873037"/>
    <w:rsid w:val="008872AC"/>
    <w:rsid w:val="008A55D7"/>
    <w:rsid w:val="008B047A"/>
    <w:rsid w:val="008D5C17"/>
    <w:rsid w:val="008E01EC"/>
    <w:rsid w:val="008E26AD"/>
    <w:rsid w:val="00936D00"/>
    <w:rsid w:val="00941340"/>
    <w:rsid w:val="00943071"/>
    <w:rsid w:val="009430D4"/>
    <w:rsid w:val="009502BE"/>
    <w:rsid w:val="009A2A8C"/>
    <w:rsid w:val="009B2B0E"/>
    <w:rsid w:val="009B2F5E"/>
    <w:rsid w:val="009D5F01"/>
    <w:rsid w:val="009E225E"/>
    <w:rsid w:val="009E68FB"/>
    <w:rsid w:val="009F6445"/>
    <w:rsid w:val="00A14B73"/>
    <w:rsid w:val="00A246B7"/>
    <w:rsid w:val="00A300FF"/>
    <w:rsid w:val="00A36AB3"/>
    <w:rsid w:val="00A47508"/>
    <w:rsid w:val="00AB4C50"/>
    <w:rsid w:val="00AC3B3D"/>
    <w:rsid w:val="00AC77EA"/>
    <w:rsid w:val="00AD7021"/>
    <w:rsid w:val="00AF2CC6"/>
    <w:rsid w:val="00AF62CA"/>
    <w:rsid w:val="00B1025A"/>
    <w:rsid w:val="00B3452F"/>
    <w:rsid w:val="00B346C8"/>
    <w:rsid w:val="00B45A83"/>
    <w:rsid w:val="00B52551"/>
    <w:rsid w:val="00B54DF2"/>
    <w:rsid w:val="00B67640"/>
    <w:rsid w:val="00B711F5"/>
    <w:rsid w:val="00B95988"/>
    <w:rsid w:val="00BB6BFD"/>
    <w:rsid w:val="00BD1931"/>
    <w:rsid w:val="00BF3E5E"/>
    <w:rsid w:val="00BF673D"/>
    <w:rsid w:val="00C05501"/>
    <w:rsid w:val="00C25C87"/>
    <w:rsid w:val="00C44F78"/>
    <w:rsid w:val="00C91917"/>
    <w:rsid w:val="00CA4A8F"/>
    <w:rsid w:val="00CC2A73"/>
    <w:rsid w:val="00CC3433"/>
    <w:rsid w:val="00CE18F7"/>
    <w:rsid w:val="00CE316D"/>
    <w:rsid w:val="00D047AC"/>
    <w:rsid w:val="00D0490C"/>
    <w:rsid w:val="00D06566"/>
    <w:rsid w:val="00D23C98"/>
    <w:rsid w:val="00D2570E"/>
    <w:rsid w:val="00D32946"/>
    <w:rsid w:val="00D42AE3"/>
    <w:rsid w:val="00D47797"/>
    <w:rsid w:val="00D5768A"/>
    <w:rsid w:val="00D613EC"/>
    <w:rsid w:val="00D83456"/>
    <w:rsid w:val="00D84775"/>
    <w:rsid w:val="00D92AA7"/>
    <w:rsid w:val="00D97E33"/>
    <w:rsid w:val="00DC2BA2"/>
    <w:rsid w:val="00DD051B"/>
    <w:rsid w:val="00DD61DA"/>
    <w:rsid w:val="00E23BEF"/>
    <w:rsid w:val="00E54C80"/>
    <w:rsid w:val="00E56E84"/>
    <w:rsid w:val="00E62D8E"/>
    <w:rsid w:val="00E65191"/>
    <w:rsid w:val="00E65859"/>
    <w:rsid w:val="00E830C4"/>
    <w:rsid w:val="00E9507E"/>
    <w:rsid w:val="00E96C8B"/>
    <w:rsid w:val="00EA59D9"/>
    <w:rsid w:val="00EF4456"/>
    <w:rsid w:val="00F4340D"/>
    <w:rsid w:val="00F54B2C"/>
    <w:rsid w:val="00F57302"/>
    <w:rsid w:val="00F603E6"/>
    <w:rsid w:val="00F85C48"/>
    <w:rsid w:val="00F874F7"/>
    <w:rsid w:val="00FE02ED"/>
    <w:rsid w:val="00FF1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2C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CC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F2CC6"/>
    <w:rPr>
      <w:color w:val="0000FF"/>
      <w:u w:val="single"/>
    </w:rPr>
  </w:style>
  <w:style w:type="character" w:customStyle="1" w:styleId="itemregion">
    <w:name w:val="item_region"/>
    <w:basedOn w:val="a0"/>
    <w:rsid w:val="00AF2CC6"/>
  </w:style>
  <w:style w:type="paragraph" w:customStyle="1" w:styleId="gray">
    <w:name w:val="gray"/>
    <w:basedOn w:val="a"/>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2CC6"/>
    <w:rPr>
      <w:b/>
      <w:bCs/>
    </w:rPr>
  </w:style>
  <w:style w:type="paragraph" w:styleId="a6">
    <w:name w:val="Balloon Text"/>
    <w:basedOn w:val="a"/>
    <w:link w:val="a7"/>
    <w:uiPriority w:val="99"/>
    <w:semiHidden/>
    <w:unhideWhenUsed/>
    <w:rsid w:val="00AF2C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2CC6"/>
    <w:rPr>
      <w:rFonts w:ascii="Tahoma" w:hAnsi="Tahoma" w:cs="Tahoma"/>
      <w:sz w:val="16"/>
      <w:szCs w:val="16"/>
    </w:rPr>
  </w:style>
  <w:style w:type="paragraph" w:styleId="a8">
    <w:name w:val="header"/>
    <w:basedOn w:val="a"/>
    <w:link w:val="a9"/>
    <w:uiPriority w:val="99"/>
    <w:rsid w:val="00BD193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D1931"/>
    <w:rPr>
      <w:rFonts w:ascii="Times New Roman" w:eastAsia="Times New Roman" w:hAnsi="Times New Roman" w:cs="Times New Roman"/>
      <w:sz w:val="20"/>
      <w:szCs w:val="20"/>
      <w:lang w:eastAsia="ru-RU"/>
    </w:rPr>
  </w:style>
  <w:style w:type="paragraph" w:customStyle="1" w:styleId="11">
    <w:name w:val="Стиль1"/>
    <w:basedOn w:val="a"/>
    <w:rsid w:val="00BD1931"/>
    <w:pPr>
      <w:spacing w:after="0" w:line="240" w:lineRule="auto"/>
      <w:jc w:val="both"/>
    </w:pPr>
    <w:rPr>
      <w:rFonts w:ascii="Times New Roman" w:eastAsia="Times New Roman" w:hAnsi="Times New Roman" w:cs="Times New Roman"/>
      <w:sz w:val="28"/>
      <w:szCs w:val="20"/>
      <w:lang w:eastAsia="ru-RU"/>
    </w:rPr>
  </w:style>
  <w:style w:type="paragraph" w:styleId="aa">
    <w:name w:val="Message Header"/>
    <w:basedOn w:val="a"/>
    <w:link w:val="ab"/>
    <w:unhideWhenUsed/>
    <w:rsid w:val="00604F00"/>
    <w:pPr>
      <w:framePr w:hSpace="181" w:vSpace="181" w:wrap="around" w:vAnchor="text" w:hAnchor="text" w:y="1"/>
      <w:spacing w:after="0" w:line="240" w:lineRule="auto"/>
      <w:ind w:left="1134" w:hanging="1134"/>
      <w:jc w:val="center"/>
    </w:pPr>
    <w:rPr>
      <w:rFonts w:ascii="Arial" w:eastAsia="Times New Roman" w:hAnsi="Arial" w:cs="Arial"/>
      <w:sz w:val="28"/>
      <w:szCs w:val="24"/>
      <w:lang w:eastAsia="ru-RU"/>
    </w:rPr>
  </w:style>
  <w:style w:type="character" w:customStyle="1" w:styleId="ab">
    <w:name w:val="Шапка Знак"/>
    <w:basedOn w:val="a0"/>
    <w:link w:val="aa"/>
    <w:rsid w:val="00604F00"/>
    <w:rPr>
      <w:rFonts w:ascii="Arial" w:eastAsia="Times New Roman" w:hAnsi="Arial" w:cs="Arial"/>
      <w:sz w:val="28"/>
      <w:szCs w:val="24"/>
      <w:lang w:eastAsia="ru-RU"/>
    </w:rPr>
  </w:style>
  <w:style w:type="paragraph" w:customStyle="1" w:styleId="12">
    <w:name w:val="Обычный1"/>
    <w:autoRedefine/>
    <w:rsid w:val="00604F00"/>
    <w:pPr>
      <w:widowControl w:val="0"/>
      <w:snapToGrid w:val="0"/>
      <w:spacing w:after="0" w:line="240" w:lineRule="auto"/>
      <w:jc w:val="both"/>
    </w:pPr>
    <w:rPr>
      <w:rFonts w:ascii="Times New Roman" w:eastAsia="Times New Roman" w:hAnsi="Times New Roman" w:cs="Times New Roman"/>
      <w:sz w:val="24"/>
      <w:szCs w:val="24"/>
      <w:lang w:eastAsia="ru-RU"/>
    </w:rPr>
  </w:style>
  <w:style w:type="paragraph" w:styleId="ac">
    <w:name w:val="Body Text"/>
    <w:basedOn w:val="a"/>
    <w:link w:val="ad"/>
    <w:semiHidden/>
    <w:unhideWhenUsed/>
    <w:rsid w:val="004A6FA1"/>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semiHidden/>
    <w:rsid w:val="004A6FA1"/>
    <w:rPr>
      <w:rFonts w:ascii="Times New Roman" w:eastAsia="Times New Roman" w:hAnsi="Times New Roman" w:cs="Times New Roman"/>
      <w:sz w:val="28"/>
      <w:szCs w:val="20"/>
      <w:lang w:eastAsia="ru-RU"/>
    </w:rPr>
  </w:style>
  <w:style w:type="paragraph" w:styleId="ae">
    <w:name w:val="List Paragraph"/>
    <w:basedOn w:val="a"/>
    <w:uiPriority w:val="34"/>
    <w:qFormat/>
    <w:rsid w:val="00C919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2C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CC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F2CC6"/>
    <w:rPr>
      <w:color w:val="0000FF"/>
      <w:u w:val="single"/>
    </w:rPr>
  </w:style>
  <w:style w:type="character" w:customStyle="1" w:styleId="itemregion">
    <w:name w:val="item_region"/>
    <w:basedOn w:val="a0"/>
    <w:rsid w:val="00AF2CC6"/>
  </w:style>
  <w:style w:type="paragraph" w:customStyle="1" w:styleId="gray">
    <w:name w:val="gray"/>
    <w:basedOn w:val="a"/>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2CC6"/>
    <w:rPr>
      <w:b/>
      <w:bCs/>
    </w:rPr>
  </w:style>
  <w:style w:type="paragraph" w:styleId="a6">
    <w:name w:val="Balloon Text"/>
    <w:basedOn w:val="a"/>
    <w:link w:val="a7"/>
    <w:uiPriority w:val="99"/>
    <w:semiHidden/>
    <w:unhideWhenUsed/>
    <w:rsid w:val="00AF2C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2CC6"/>
    <w:rPr>
      <w:rFonts w:ascii="Tahoma" w:hAnsi="Tahoma" w:cs="Tahoma"/>
      <w:sz w:val="16"/>
      <w:szCs w:val="16"/>
    </w:rPr>
  </w:style>
  <w:style w:type="paragraph" w:styleId="a8">
    <w:name w:val="header"/>
    <w:basedOn w:val="a"/>
    <w:link w:val="a9"/>
    <w:uiPriority w:val="99"/>
    <w:rsid w:val="00BD193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D1931"/>
    <w:rPr>
      <w:rFonts w:ascii="Times New Roman" w:eastAsia="Times New Roman" w:hAnsi="Times New Roman" w:cs="Times New Roman"/>
      <w:sz w:val="20"/>
      <w:szCs w:val="20"/>
      <w:lang w:eastAsia="ru-RU"/>
    </w:rPr>
  </w:style>
  <w:style w:type="paragraph" w:customStyle="1" w:styleId="11">
    <w:name w:val="Стиль1"/>
    <w:basedOn w:val="a"/>
    <w:rsid w:val="00BD1931"/>
    <w:pPr>
      <w:spacing w:after="0" w:line="240" w:lineRule="auto"/>
      <w:jc w:val="both"/>
    </w:pPr>
    <w:rPr>
      <w:rFonts w:ascii="Times New Roman" w:eastAsia="Times New Roman" w:hAnsi="Times New Roman" w:cs="Times New Roman"/>
      <w:sz w:val="28"/>
      <w:szCs w:val="20"/>
      <w:lang w:eastAsia="ru-RU"/>
    </w:rPr>
  </w:style>
  <w:style w:type="paragraph" w:styleId="aa">
    <w:name w:val="Message Header"/>
    <w:basedOn w:val="a"/>
    <w:link w:val="ab"/>
    <w:unhideWhenUsed/>
    <w:rsid w:val="00604F00"/>
    <w:pPr>
      <w:framePr w:hSpace="181" w:vSpace="181" w:wrap="around" w:vAnchor="text" w:hAnchor="text" w:y="1"/>
      <w:spacing w:after="0" w:line="240" w:lineRule="auto"/>
      <w:ind w:left="1134" w:hanging="1134"/>
      <w:jc w:val="center"/>
    </w:pPr>
    <w:rPr>
      <w:rFonts w:ascii="Arial" w:eastAsia="Times New Roman" w:hAnsi="Arial" w:cs="Arial"/>
      <w:sz w:val="28"/>
      <w:szCs w:val="24"/>
      <w:lang w:eastAsia="ru-RU"/>
    </w:rPr>
  </w:style>
  <w:style w:type="character" w:customStyle="1" w:styleId="ab">
    <w:name w:val="Шапка Знак"/>
    <w:basedOn w:val="a0"/>
    <w:link w:val="aa"/>
    <w:rsid w:val="00604F00"/>
    <w:rPr>
      <w:rFonts w:ascii="Arial" w:eastAsia="Times New Roman" w:hAnsi="Arial" w:cs="Arial"/>
      <w:sz w:val="28"/>
      <w:szCs w:val="24"/>
      <w:lang w:eastAsia="ru-RU"/>
    </w:rPr>
  </w:style>
  <w:style w:type="paragraph" w:customStyle="1" w:styleId="12">
    <w:name w:val="Обычный1"/>
    <w:autoRedefine/>
    <w:rsid w:val="00604F00"/>
    <w:pPr>
      <w:widowControl w:val="0"/>
      <w:snapToGrid w:val="0"/>
      <w:spacing w:after="0" w:line="240" w:lineRule="auto"/>
      <w:jc w:val="both"/>
    </w:pPr>
    <w:rPr>
      <w:rFonts w:ascii="Times New Roman" w:eastAsia="Times New Roman" w:hAnsi="Times New Roman" w:cs="Times New Roman"/>
      <w:sz w:val="24"/>
      <w:szCs w:val="24"/>
      <w:lang w:eastAsia="ru-RU"/>
    </w:rPr>
  </w:style>
  <w:style w:type="paragraph" w:styleId="ac">
    <w:name w:val="Body Text"/>
    <w:basedOn w:val="a"/>
    <w:link w:val="ad"/>
    <w:semiHidden/>
    <w:unhideWhenUsed/>
    <w:rsid w:val="004A6FA1"/>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semiHidden/>
    <w:rsid w:val="004A6FA1"/>
    <w:rPr>
      <w:rFonts w:ascii="Times New Roman" w:eastAsia="Times New Roman" w:hAnsi="Times New Roman" w:cs="Times New Roman"/>
      <w:sz w:val="28"/>
      <w:szCs w:val="20"/>
      <w:lang w:eastAsia="ru-RU"/>
    </w:rPr>
  </w:style>
  <w:style w:type="paragraph" w:styleId="ae">
    <w:name w:val="List Paragraph"/>
    <w:basedOn w:val="a"/>
    <w:uiPriority w:val="34"/>
    <w:qFormat/>
    <w:rsid w:val="00C91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68566">
      <w:bodyDiv w:val="1"/>
      <w:marLeft w:val="0"/>
      <w:marRight w:val="0"/>
      <w:marTop w:val="0"/>
      <w:marBottom w:val="0"/>
      <w:divBdr>
        <w:top w:val="none" w:sz="0" w:space="0" w:color="auto"/>
        <w:left w:val="none" w:sz="0" w:space="0" w:color="auto"/>
        <w:bottom w:val="none" w:sz="0" w:space="0" w:color="auto"/>
        <w:right w:val="none" w:sz="0" w:space="0" w:color="auto"/>
      </w:divBdr>
    </w:div>
    <w:div w:id="255096728">
      <w:bodyDiv w:val="1"/>
      <w:marLeft w:val="0"/>
      <w:marRight w:val="0"/>
      <w:marTop w:val="0"/>
      <w:marBottom w:val="0"/>
      <w:divBdr>
        <w:top w:val="none" w:sz="0" w:space="0" w:color="auto"/>
        <w:left w:val="none" w:sz="0" w:space="0" w:color="auto"/>
        <w:bottom w:val="none" w:sz="0" w:space="0" w:color="auto"/>
        <w:right w:val="none" w:sz="0" w:space="0" w:color="auto"/>
      </w:divBdr>
    </w:div>
    <w:div w:id="2007787095">
      <w:bodyDiv w:val="1"/>
      <w:marLeft w:val="0"/>
      <w:marRight w:val="0"/>
      <w:marTop w:val="0"/>
      <w:marBottom w:val="0"/>
      <w:divBdr>
        <w:top w:val="none" w:sz="0" w:space="0" w:color="auto"/>
        <w:left w:val="none" w:sz="0" w:space="0" w:color="auto"/>
        <w:bottom w:val="none" w:sz="0" w:space="0" w:color="auto"/>
        <w:right w:val="none" w:sz="0" w:space="0" w:color="auto"/>
      </w:divBdr>
      <w:divsChild>
        <w:div w:id="627977908">
          <w:marLeft w:val="0"/>
          <w:marRight w:val="0"/>
          <w:marTop w:val="0"/>
          <w:marBottom w:val="0"/>
          <w:divBdr>
            <w:top w:val="none" w:sz="0" w:space="0" w:color="auto"/>
            <w:left w:val="none" w:sz="0" w:space="0" w:color="auto"/>
            <w:bottom w:val="none" w:sz="0" w:space="0" w:color="auto"/>
            <w:right w:val="none" w:sz="0" w:space="0" w:color="auto"/>
          </w:divBdr>
        </w:div>
        <w:div w:id="1400129914">
          <w:marLeft w:val="0"/>
          <w:marRight w:val="0"/>
          <w:marTop w:val="0"/>
          <w:marBottom w:val="0"/>
          <w:divBdr>
            <w:top w:val="none" w:sz="0" w:space="0" w:color="auto"/>
            <w:left w:val="none" w:sz="0" w:space="0" w:color="auto"/>
            <w:bottom w:val="none" w:sz="0" w:space="0" w:color="auto"/>
            <w:right w:val="none" w:sz="0" w:space="0" w:color="auto"/>
          </w:divBdr>
          <w:divsChild>
            <w:div w:id="2781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CA218-6F63-4090-AA5F-2423E986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(6400-00-883) Бондаренко Джамиля Алим кызы</dc:creator>
  <cp:lastModifiedBy>(6400-00-889) Сметанников Сергей Станеславович</cp:lastModifiedBy>
  <cp:revision>2</cp:revision>
  <cp:lastPrinted>2019-01-29T07:08:00Z</cp:lastPrinted>
  <dcterms:created xsi:type="dcterms:W3CDTF">2020-01-24T06:48:00Z</dcterms:created>
  <dcterms:modified xsi:type="dcterms:W3CDTF">2020-01-24T06:48:00Z</dcterms:modified>
</cp:coreProperties>
</file>